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48" w:rsidRPr="00F67830" w:rsidRDefault="00393848" w:rsidP="00393848">
      <w:pPr>
        <w:bidi/>
        <w:spacing w:after="200" w:line="276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bookmarkStart w:id="0" w:name="_GoBack"/>
      <w:r w:rsidRPr="00F67830">
        <w:rPr>
          <w:rFonts w:cs="2  Lotus" w:hint="cs"/>
          <w:b/>
          <w:bCs/>
          <w:noProof/>
          <w:sz w:val="40"/>
          <w:szCs w:val="40"/>
          <w:rtl/>
        </w:rPr>
        <w:drawing>
          <wp:inline distT="0" distB="0" distL="0" distR="0" wp14:anchorId="6394C819" wp14:editId="5DCD4B7C">
            <wp:extent cx="1682440" cy="1666875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5" cy="167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848" w:rsidRPr="00F67830" w:rsidRDefault="00393848" w:rsidP="00393848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</w:p>
    <w:p w:rsidR="00393848" w:rsidRPr="00F67830" w:rsidRDefault="00393848" w:rsidP="00393848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F67830">
        <w:rPr>
          <w:rFonts w:cs="2  Lotus" w:hint="cs"/>
          <w:b/>
          <w:bCs/>
          <w:sz w:val="40"/>
          <w:szCs w:val="40"/>
          <w:rtl/>
          <w:lang w:bidi="fa-IR"/>
        </w:rPr>
        <w:t>طرح درس ایمونولوژی بیماریهای عفونی</w:t>
      </w:r>
    </w:p>
    <w:p w:rsidR="00393848" w:rsidRPr="00F67830" w:rsidRDefault="00393848" w:rsidP="00393848">
      <w:pPr>
        <w:bidi/>
        <w:spacing w:after="200" w:line="360" w:lineRule="auto"/>
        <w:jc w:val="center"/>
        <w:rPr>
          <w:rFonts w:cs="2  Lotus"/>
          <w:b/>
          <w:bCs/>
          <w:sz w:val="40"/>
          <w:szCs w:val="40"/>
          <w:rtl/>
          <w:lang w:bidi="fa-IR"/>
        </w:rPr>
      </w:pPr>
      <w:r w:rsidRPr="00F67830">
        <w:rPr>
          <w:rFonts w:cs="2  Lotus" w:hint="cs"/>
          <w:b/>
          <w:bCs/>
          <w:sz w:val="40"/>
          <w:szCs w:val="40"/>
          <w:rtl/>
          <w:lang w:bidi="fa-IR"/>
        </w:rPr>
        <w:t>دانشجویان کارشناسی ارشد ایمنی شناسی</w:t>
      </w:r>
    </w:p>
    <w:p w:rsidR="00393848" w:rsidRPr="00F67830" w:rsidRDefault="00393848" w:rsidP="00393848">
      <w:pPr>
        <w:spacing w:after="200" w:line="276" w:lineRule="auto"/>
        <w:rPr>
          <w:rFonts w:cs="2  Lotus"/>
          <w:b/>
          <w:bCs/>
          <w:sz w:val="40"/>
          <w:szCs w:val="40"/>
          <w:rtl/>
          <w:lang w:bidi="fa-IR"/>
        </w:rPr>
      </w:pPr>
      <w:r w:rsidRPr="00F67830">
        <w:rPr>
          <w:rFonts w:cs="2  Lotus"/>
          <w:b/>
          <w:bCs/>
          <w:sz w:val="40"/>
          <w:szCs w:val="40"/>
          <w:rtl/>
          <w:lang w:bidi="fa-IR"/>
        </w:rPr>
        <w:br w:type="page"/>
      </w:r>
    </w:p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1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F67830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F67830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 xml:space="preserve">: </w:t>
            </w:r>
            <w:r w:rsidRPr="00F67830">
              <w:rPr>
                <w:rFonts w:cs="2  Lotus" w:hint="cs"/>
                <w:b w:val="0"/>
                <w:bCs w:val="0"/>
                <w:rtl/>
              </w:rPr>
              <w:t>ایمونولوژی بیماریهای عفونی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 : </w:t>
            </w:r>
            <w:r w:rsidRPr="00F67830">
              <w:rPr>
                <w:rFonts w:cs="2  Lotus" w:hint="cs"/>
                <w:b w:val="0"/>
                <w:bCs w:val="0"/>
                <w:rtl/>
              </w:rPr>
              <w:t>ايمني ذاتي و اكتسابي در مقابل ويروسها مانند ويروس هپاتيت و ويروس نقص ايمني اكتسابي، شيوه هاي فرار آنها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ایمنی شناسی</w:t>
            </w:r>
          </w:p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393848" w:rsidRPr="00F67830" w:rsidRDefault="00393848" w:rsidP="00064F3F">
            <w:pPr>
              <w:bidi/>
              <w:rPr>
                <w:rFonts w:cs="2  Lotus" w:hint="c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  <w:r w:rsidR="00064F3F"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="00F87518" w:rsidRPr="00F67830">
              <w:rPr>
                <w:rFonts w:cs="2  Lotus" w:hint="cs"/>
                <w:b w:val="0"/>
                <w:bCs w:val="0"/>
                <w:rtl/>
                <w:lang w:bidi="fa-IR"/>
              </w:rPr>
              <w:t>جلسه اول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393848" w:rsidRPr="00F67830" w:rsidRDefault="00393848" w:rsidP="00393848">
      <w:pPr>
        <w:bidi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393848" w:rsidRPr="00F67830" w:rsidTr="00393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F67830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ایمونوپاتوژنز بیماری های ویروسی را توصیف نماید.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انواع مکانیسم های ایمنی ذاتی در دفاع علیه عفونت های ویروسی را شرح دهد.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انواع مکانیسم های ایمنی اکتسابی در دفاع علیه عفونت های ویروسی را شرح دهد.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انواع مکانیسم های گریز ویروس ها از دست سیستم ایمنی را توصیف نماید.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CF1452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F1452" w:rsidRPr="00F67830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F67830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F67830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393848" w:rsidRPr="00F67830" w:rsidRDefault="00393848" w:rsidP="00153594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393848" w:rsidRPr="00F67830" w:rsidRDefault="00393848" w:rsidP="00393848">
      <w:pPr>
        <w:bidi/>
        <w:rPr>
          <w:rFonts w:cs="2  Lotus"/>
          <w:lang w:bidi="fa-IR"/>
        </w:rPr>
      </w:pPr>
    </w:p>
    <w:p w:rsidR="00393848" w:rsidRPr="00F67830" w:rsidRDefault="00393848">
      <w:pPr>
        <w:spacing w:after="200" w:line="276" w:lineRule="auto"/>
        <w:rPr>
          <w:rFonts w:cs="2  Lotus"/>
          <w:rtl/>
        </w:rPr>
      </w:pPr>
      <w:r w:rsidRPr="00F67830">
        <w:rPr>
          <w:rFonts w:cs="2  Lotus"/>
          <w:rtl/>
        </w:rPr>
        <w:br w:type="page"/>
      </w:r>
    </w:p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1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F67830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F67830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 xml:space="preserve">: </w:t>
            </w:r>
            <w:r w:rsidRPr="00F67830">
              <w:rPr>
                <w:rFonts w:cs="2  Lotus" w:hint="cs"/>
                <w:b w:val="0"/>
                <w:bCs w:val="0"/>
                <w:rtl/>
              </w:rPr>
              <w:t>ایمونولوژی بیماریهای عفونی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F67830">
              <w:rPr>
                <w:rFonts w:cs="2  Lotus" w:hint="cs"/>
                <w:b w:val="0"/>
                <w:bCs w:val="0"/>
                <w:rtl/>
              </w:rPr>
              <w:t xml:space="preserve"> ارتباط عفونت با خود ايمني و آلرژي، نقش عوامل عفوني در بروز اين بيماريها، تقليد ايمني و القاي كمك محركها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ایمنی شناسی</w:t>
            </w:r>
          </w:p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393848" w:rsidRPr="00F67830" w:rsidRDefault="00393848" w:rsidP="00064F3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  <w:r w:rsidR="00064F3F"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="00F87518" w:rsidRPr="00F67830">
              <w:rPr>
                <w:rFonts w:cs="2  Lotus" w:hint="cs"/>
                <w:b w:val="0"/>
                <w:bCs w:val="0"/>
                <w:rtl/>
                <w:lang w:bidi="fa-IR"/>
              </w:rPr>
              <w:t>جلسه دوم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393848" w:rsidRPr="00F67830" w:rsidRDefault="00393848" w:rsidP="00393848">
      <w:pPr>
        <w:bidi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393848" w:rsidRPr="00F67830" w:rsidTr="00393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F67830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ارتباط بیماری های عفونی با آلرژی را شرح دهد.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نقش بیماری های عفونی در بروز بیماری های خودایمنی را توصیف نماید.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مکانیسم های درگیر در ارتباط بین عفونت و بروز آلرژی و خودایمنی را درک نماید.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CF1452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F1452" w:rsidRPr="00F67830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F67830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F67830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393848" w:rsidRPr="00F67830" w:rsidRDefault="00393848" w:rsidP="00153594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393848" w:rsidRPr="00F67830" w:rsidRDefault="00393848" w:rsidP="00393848">
      <w:pPr>
        <w:bidi/>
        <w:rPr>
          <w:rFonts w:cs="2  Lotus"/>
          <w:lang w:bidi="fa-IR"/>
        </w:rPr>
      </w:pPr>
    </w:p>
    <w:p w:rsidR="00393848" w:rsidRPr="00F67830" w:rsidRDefault="00393848">
      <w:pPr>
        <w:spacing w:after="200" w:line="276" w:lineRule="auto"/>
        <w:rPr>
          <w:rFonts w:cs="2  Lotus"/>
          <w:rtl/>
        </w:rPr>
      </w:pPr>
      <w:r w:rsidRPr="00F67830">
        <w:rPr>
          <w:rFonts w:cs="2  Lotus"/>
          <w:rtl/>
        </w:rPr>
        <w:br w:type="page"/>
      </w:r>
    </w:p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1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874"/>
        <w:gridCol w:w="1896"/>
        <w:gridCol w:w="2498"/>
        <w:gridCol w:w="2005"/>
        <w:gridCol w:w="2390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393848" w:rsidRPr="00F67830" w:rsidRDefault="00393848" w:rsidP="00393848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بیماریهای عفونی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موضوع جلسه: واکسیناسیون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498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ایمونولوژی</w:t>
            </w:r>
          </w:p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5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  <w:r w:rsidR="00F87518" w:rsidRPr="00F67830">
              <w:rPr>
                <w:rFonts w:cs="2  Lotus" w:hint="cs"/>
                <w:b w:val="0"/>
                <w:bCs w:val="0"/>
                <w:rtl/>
                <w:lang w:bidi="fa-IR"/>
              </w:rPr>
              <w:t>جلسه سوم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0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بهزاد برادران</w:t>
            </w:r>
          </w:p>
        </w:tc>
      </w:tr>
    </w:tbl>
    <w:p w:rsidR="00393848" w:rsidRPr="00F67830" w:rsidRDefault="00393848" w:rsidP="00393848">
      <w:pPr>
        <w:bidi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3029"/>
        <w:gridCol w:w="751"/>
        <w:gridCol w:w="3509"/>
        <w:gridCol w:w="3320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22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393848" w:rsidRPr="00F67830" w:rsidTr="00393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تاریخچه واکسیناسیون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2-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انواع ایمونیزاسیون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ایمونیزاسیون پسیو طبیعی و مصنوعی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ایمونیزاسیون اکتیو طبیعی و مصنوعی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8-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برنامه واکسیناسیون 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9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- 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واکسن های ایده آل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1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0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- 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طراحی واکسن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1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F67830">
              <w:rPr>
                <w:rFonts w:hint="cs"/>
                <w:b w:val="0"/>
                <w:bCs w:val="0"/>
                <w:rtl/>
                <w:lang w:bidi="fa-IR"/>
              </w:rPr>
              <w:t>–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واکسن های نسل قدیم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12- واکسنهای با پایه پاتوژهای غیر فعال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13- 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واکسنها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با پا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F67830">
              <w:rPr>
                <w:rFonts w:cs="2  Lotus" w:hint="eastAsia"/>
                <w:b w:val="0"/>
                <w:bCs w:val="0"/>
                <w:rtl/>
                <w:lang w:bidi="fa-IR"/>
              </w:rPr>
              <w:t>ه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پاتوژها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ضعیف شده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14- 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واکسنها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با پا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F67830">
              <w:rPr>
                <w:rFonts w:cs="2  Lotus" w:hint="eastAsia"/>
                <w:b w:val="0"/>
                <w:bCs w:val="0"/>
                <w:rtl/>
                <w:lang w:bidi="fa-IR"/>
              </w:rPr>
              <w:t>ه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ساب یونیت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15- واکسنهای نسل جدید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16- 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>واکسنها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با پا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ی</w:t>
            </w:r>
            <w:r w:rsidRPr="00F67830">
              <w:rPr>
                <w:rFonts w:cs="2  Lotus" w:hint="eastAsia"/>
                <w:b w:val="0"/>
                <w:bCs w:val="0"/>
                <w:rtl/>
                <w:lang w:bidi="fa-IR"/>
              </w:rPr>
              <w:t>ه</w:t>
            </w:r>
            <w:r w:rsidRPr="00F67830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F67830">
              <w:rPr>
                <w:rFonts w:cs="2  Lotus"/>
                <w:b w:val="0"/>
                <w:bCs w:val="0"/>
                <w:lang w:bidi="fa-IR"/>
              </w:rPr>
              <w:t>DNA vaccine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17- وانسنهای با پایه </w:t>
            </w:r>
            <w:r w:rsidRPr="00F67830">
              <w:rPr>
                <w:rFonts w:cs="2  Lotus"/>
                <w:b w:val="0"/>
                <w:bCs w:val="0"/>
                <w:lang w:bidi="fa-IR"/>
              </w:rPr>
              <w:t>Recombinant vectors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18- ادجوانت ها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19- واکسن سل، </w:t>
            </w:r>
            <w:r w:rsidRPr="00F67830">
              <w:rPr>
                <w:rFonts w:cs="2  Lotus"/>
                <w:b w:val="0"/>
                <w:bCs w:val="0"/>
                <w:lang w:bidi="fa-IR"/>
              </w:rPr>
              <w:t>HIV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 سیاه سرفه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20- </w:t>
            </w:r>
            <w:r w:rsidRPr="00F67830">
              <w:rPr>
                <w:rFonts w:cs="2  Lotus"/>
                <w:b w:val="0"/>
                <w:bCs w:val="0"/>
                <w:lang w:bidi="fa-IR"/>
              </w:rPr>
              <w:t>Anti-Fertility Vaccines</w:t>
            </w:r>
            <w:r w:rsidRPr="00F67830">
              <w:rPr>
                <w:rFonts w:ascii="Arial" w:hAnsi="Arial" w:cs="2  Lotus" w:hint="cs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22" w:type="dxa"/>
          </w:tcPr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با استفاده از وسایل کمک آموزشی ، وایت بورد، </w:t>
            </w:r>
            <w:r w:rsidRPr="00F67830">
              <w:rPr>
                <w:rFonts w:cs="2  Lotus"/>
                <w:b/>
                <w:bCs/>
                <w:rtl/>
                <w:lang w:bidi="fa-IR"/>
              </w:rPr>
              <w:t>و</w:t>
            </w:r>
            <w:r w:rsidRPr="00F67830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F67830">
              <w:rPr>
                <w:rFonts w:cs="2  Lotus" w:hint="eastAsia"/>
                <w:b/>
                <w:bCs/>
                <w:rtl/>
                <w:lang w:bidi="fa-IR"/>
              </w:rPr>
              <w:t>د</w:t>
            </w:r>
            <w:r w:rsidRPr="00F67830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F67830">
              <w:rPr>
                <w:rFonts w:cs="2  Lotus" w:hint="eastAsia"/>
                <w:b/>
                <w:bCs/>
                <w:rtl/>
                <w:lang w:bidi="fa-IR"/>
              </w:rPr>
              <w:t>و</w:t>
            </w: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1" w:type="dxa"/>
            <w:gridSpan w:val="2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 w:rsidR="00393848" w:rsidRPr="00F67830" w:rsidRDefault="00393848" w:rsidP="00393848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 ABB Ass-2015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31" w:type="dxa"/>
            <w:gridSpan w:val="2"/>
          </w:tcPr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Fundamental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393848" w:rsidRPr="00F67830" w:rsidRDefault="00393848" w:rsidP="00153594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3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</w:p>
    <w:p w:rsidR="00393848" w:rsidRPr="00F67830" w:rsidRDefault="00393848">
      <w:pPr>
        <w:spacing w:after="200" w:line="276" w:lineRule="auto"/>
        <w:rPr>
          <w:rFonts w:cs="2  Lotus"/>
          <w:b/>
          <w:bCs/>
          <w:rtl/>
          <w:lang w:bidi="fa-IR"/>
        </w:rPr>
      </w:pPr>
      <w:r w:rsidRPr="00F67830">
        <w:rPr>
          <w:rFonts w:cs="2  Lotus"/>
          <w:b/>
          <w:bCs/>
          <w:rtl/>
          <w:lang w:bidi="fa-IR"/>
        </w:rPr>
        <w:br w:type="page"/>
      </w:r>
    </w:p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1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بيماري هاي عفوني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پیشنیاز: ایمونولوژی 1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موضوع جلسه : ايمني مخاطي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393848" w:rsidRPr="00F67830" w:rsidRDefault="00393848" w:rsidP="0039384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ايمني شناسي</w:t>
            </w:r>
          </w:p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064F3F" w:rsidRPr="00F67830" w:rsidRDefault="00393848" w:rsidP="00064F3F">
            <w:pPr>
              <w:bidi/>
              <w:rPr>
                <w:rFonts w:cs="2  Lotus"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F87518" w:rsidRPr="00F67830">
              <w:rPr>
                <w:rFonts w:cs="2  Lotus" w:hint="cs"/>
                <w:b w:val="0"/>
                <w:bCs w:val="0"/>
                <w:rtl/>
                <w:lang w:bidi="fa-IR"/>
              </w:rPr>
              <w:t>جلسه چهارم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highlight w:val="yellow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توحيد كاظمي</w:t>
            </w:r>
          </w:p>
        </w:tc>
      </w:tr>
    </w:tbl>
    <w:p w:rsidR="00393848" w:rsidRPr="00F67830" w:rsidRDefault="00393848" w:rsidP="00393848">
      <w:pPr>
        <w:bidi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393848" w:rsidRPr="00F67830" w:rsidTr="00393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 ايمني مخاطي و تفاوت آن با ايمني سيستميك را بشناسد.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اجزا و عملكردهاي آنها در ايمني مخاطي را بشناسد.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3-. موارد نقص در اجزاي ايمني مخاطي را بشناسد.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بيماري هاي ايجاد شده در اثر نقص در اجزاي ايمني مخاطي را بشناسد.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393848" w:rsidRPr="00F67830" w:rsidRDefault="00393848" w:rsidP="00153594">
            <w:pPr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, 2017-</w:t>
            </w:r>
          </w:p>
          <w:p w:rsidR="00393848" w:rsidRPr="00F67830" w:rsidRDefault="00393848" w:rsidP="00153594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393848" w:rsidRPr="00F67830" w:rsidRDefault="00393848" w:rsidP="00393848">
      <w:pPr>
        <w:bidi/>
        <w:rPr>
          <w:rFonts w:cs="2  Lotus"/>
          <w:rtl/>
        </w:rPr>
      </w:pPr>
    </w:p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  <w:r w:rsidRPr="00F67830">
        <w:rPr>
          <w:rFonts w:cs="2  Lotus"/>
          <w:rtl/>
        </w:rPr>
        <w:br w:type="page"/>
      </w:r>
      <w:r w:rsidRPr="00F67830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1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بيماري هاي عفوني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پیشنیاز: ایمونولوژی 1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موضوع جلسه : ايمونوتراپي بيماري هاي خودايمني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393848" w:rsidRPr="00F67830" w:rsidRDefault="00393848" w:rsidP="0039384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ايمني شناسي</w:t>
            </w:r>
          </w:p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064F3F" w:rsidRPr="00F67830" w:rsidRDefault="00393848" w:rsidP="00064F3F">
            <w:pPr>
              <w:bidi/>
              <w:rPr>
                <w:rFonts w:cs="2  Lotus"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F87518" w:rsidRPr="00F67830">
              <w:rPr>
                <w:rFonts w:cs="2  Lotus" w:hint="cs"/>
                <w:b w:val="0"/>
                <w:bCs w:val="0"/>
                <w:rtl/>
                <w:lang w:bidi="fa-IR"/>
              </w:rPr>
              <w:t>جلسه پنجم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توحيد كاظمي</w:t>
            </w:r>
          </w:p>
        </w:tc>
      </w:tr>
    </w:tbl>
    <w:p w:rsidR="00393848" w:rsidRPr="00F67830" w:rsidRDefault="00393848" w:rsidP="00393848">
      <w:pPr>
        <w:bidi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393848" w:rsidRPr="00F67830" w:rsidTr="00393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 خصوصيات كلي ايجاد بيماري هاي خودايمني را بداند.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مكانيسمهاي ايمونولو‍زيك ايجاد بيماري هاي خودايمني را بداند.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انواع روش هاي ايمونوتراپي را بداند.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انواع روش هاي ايمونوتراپي قابل انجام در بيماري هاي خود ايمني را بداند.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393848" w:rsidRPr="00F67830" w:rsidRDefault="00393848" w:rsidP="00153594">
            <w:pPr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, 2017-</w:t>
            </w:r>
          </w:p>
          <w:p w:rsidR="00393848" w:rsidRPr="00F67830" w:rsidRDefault="00393848" w:rsidP="00153594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393848" w:rsidRPr="00F67830" w:rsidRDefault="00393848" w:rsidP="00393848">
      <w:pPr>
        <w:bidi/>
        <w:rPr>
          <w:rFonts w:cs="2  Lotus"/>
        </w:rPr>
      </w:pPr>
    </w:p>
    <w:p w:rsidR="00393848" w:rsidRPr="00F67830" w:rsidRDefault="00393848" w:rsidP="00393848">
      <w:pPr>
        <w:bidi/>
        <w:rPr>
          <w:rFonts w:cs="2  Lotus"/>
        </w:rPr>
      </w:pPr>
    </w:p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  <w:r w:rsidRPr="00F67830">
        <w:rPr>
          <w:rFonts w:cs="2  Lotus"/>
          <w:rtl/>
        </w:rPr>
        <w:br w:type="page"/>
      </w:r>
    </w:p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lastRenderedPageBreak/>
        <w:t>فرم تدوین طرح درس</w:t>
      </w:r>
    </w:p>
    <w:tbl>
      <w:tblPr>
        <w:tblStyle w:val="LightGrid-Accent1"/>
        <w:bidiVisual/>
        <w:tblW w:w="10663" w:type="dxa"/>
        <w:jc w:val="center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F67830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F67830">
              <w:rPr>
                <w:rFonts w:cs="2  Lotus" w:hint="cs"/>
                <w:b w:val="0"/>
                <w:bCs w:val="0"/>
                <w:rtl/>
              </w:rPr>
              <w:t xml:space="preserve">               ایمونولوژی بیماریهای عفونی                        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F67830">
              <w:rPr>
                <w:rFonts w:cs="2  Lotus" w:hint="cs"/>
                <w:rtl/>
              </w:rPr>
              <w:t xml:space="preserve"> </w:t>
            </w:r>
            <w:r w:rsidRPr="00F67830">
              <w:rPr>
                <w:rFonts w:cs="2  Lotus" w:hint="cs"/>
                <w:b w:val="0"/>
                <w:bCs w:val="0"/>
                <w:rtl/>
              </w:rPr>
              <w:t>ايمني ذاتي و اكتسابي در مقابل انگلهاي تك ياخته اي درون سلولي مانند ليشمانيا و مالاريا و شيوه هاي فرار آنها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rtl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گروه هدف: </w:t>
            </w:r>
            <w:r w:rsidRPr="00F67830">
              <w:rPr>
                <w:rFonts w:cs="2  Lotus" w:hint="cs"/>
                <w:rtl/>
              </w:rPr>
              <w:t>دانشجویان کارشناسی ارشد ایمنی شناسی</w:t>
            </w:r>
          </w:p>
          <w:p w:rsidR="00393848" w:rsidRPr="00F67830" w:rsidRDefault="00393848" w:rsidP="00CF1452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rtl/>
                <w:lang w:bidi="fa-IR"/>
              </w:rPr>
              <w:t>تعداد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دانشجویان: </w:t>
            </w:r>
            <w:r w:rsidR="00CF1452" w:rsidRPr="00F67830">
              <w:rPr>
                <w:rFonts w:cs="2  Lotus" w:hint="cs"/>
                <w:b w:val="0"/>
                <w:bCs w:val="0"/>
                <w:rtl/>
                <w:lang w:bidi="fa-IR"/>
              </w:rPr>
              <w:t>10</w:t>
            </w: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393848" w:rsidRPr="00F67830" w:rsidRDefault="00393848" w:rsidP="00064F3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F87518" w:rsidRPr="00F67830">
              <w:rPr>
                <w:rFonts w:cs="2  Lotus" w:hint="cs"/>
                <w:b w:val="0"/>
                <w:bCs w:val="0"/>
                <w:rtl/>
                <w:lang w:bidi="fa-IR"/>
              </w:rPr>
              <w:t>جلسه ششم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393848" w:rsidRPr="00F67830" w:rsidRDefault="00393848" w:rsidP="00393848">
      <w:pPr>
        <w:bidi/>
        <w:rPr>
          <w:rFonts w:cs="2  Lotus"/>
          <w:b/>
          <w:bCs/>
          <w:rtl/>
          <w:lang w:bidi="fa-IR"/>
        </w:rPr>
      </w:pPr>
      <w:r w:rsidRPr="00F67830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jc w:val="center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393848" w:rsidRPr="00F67830" w:rsidTr="00393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393848" w:rsidRPr="00F67830" w:rsidTr="00393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F67830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F67830">
              <w:rPr>
                <w:rFonts w:cs="2  Lotus" w:hint="cs"/>
                <w:rtl/>
              </w:rPr>
              <w:t>ايمني ذاتي و اكتسابي در مقابل انگلهاي تك ياخته اي درون سلولي مانند ليشمانيا و مالاريا و شيوه هاي فرار آنها</w:t>
            </w:r>
            <w:r w:rsidRPr="00F67830">
              <w:rPr>
                <w:rFonts w:cs="2  Lotus" w:hint="cs"/>
                <w:b w:val="0"/>
                <w:bCs w:val="0"/>
                <w:rtl/>
              </w:rPr>
              <w:t xml:space="preserve"> </w:t>
            </w:r>
            <w:r w:rsidRPr="00F67830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>آشنا خواهند شد.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393848" w:rsidRPr="00F67830" w:rsidRDefault="00393848" w:rsidP="00153594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F67830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393848" w:rsidRPr="00F67830" w:rsidTr="0039384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393848" w:rsidRPr="00F67830" w:rsidRDefault="00393848" w:rsidP="00393848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 ABB Ass-2015.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F67830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F67830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F67830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393848" w:rsidRPr="00F67830" w:rsidRDefault="00393848" w:rsidP="0015359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F67830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393848" w:rsidRPr="00F67830" w:rsidRDefault="00393848" w:rsidP="00153594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F67830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393848" w:rsidRPr="00F67830" w:rsidRDefault="00393848" w:rsidP="00153594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393848" w:rsidRPr="00F67830" w:rsidRDefault="00393848" w:rsidP="00393848">
      <w:pPr>
        <w:bidi/>
        <w:rPr>
          <w:rFonts w:cs="2  Lotus"/>
          <w:rtl/>
          <w:lang w:bidi="fa-IR"/>
        </w:rPr>
      </w:pPr>
    </w:p>
    <w:p w:rsidR="00393848" w:rsidRPr="00F67830" w:rsidRDefault="00393848" w:rsidP="00393848">
      <w:pPr>
        <w:bidi/>
        <w:jc w:val="center"/>
        <w:rPr>
          <w:rFonts w:cs="2  Lotus"/>
          <w:b/>
          <w:bCs/>
          <w:rtl/>
          <w:lang w:bidi="fa-IR"/>
        </w:rPr>
      </w:pPr>
    </w:p>
    <w:bookmarkEnd w:id="0"/>
    <w:p w:rsidR="00393848" w:rsidRPr="00F67830" w:rsidRDefault="00393848" w:rsidP="00393848">
      <w:pPr>
        <w:bidi/>
        <w:spacing w:after="200" w:line="276" w:lineRule="auto"/>
        <w:rPr>
          <w:rFonts w:cs="2  Lotus"/>
          <w:rtl/>
        </w:rPr>
      </w:pPr>
    </w:p>
    <w:sectPr w:rsidR="00393848" w:rsidRPr="00F67830" w:rsidSect="00393848">
      <w:pgSz w:w="12240" w:h="15840"/>
      <w:pgMar w:top="1276" w:right="1440" w:bottom="1440" w:left="1440" w:header="720" w:footer="720" w:gutter="0"/>
      <w:pgBorders w:offsetFrom="page">
        <w:top w:val="single" w:sz="8" w:space="24" w:color="4F81BD" w:themeColor="accent1"/>
        <w:left w:val="single" w:sz="8" w:space="24" w:color="4F81BD" w:themeColor="accent1"/>
        <w:bottom w:val="single" w:sz="8" w:space="24" w:color="4F81BD" w:themeColor="accent1"/>
        <w:right w:val="single" w:sz="8" w:space="24" w:color="4F81BD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93848"/>
    <w:rsid w:val="00064F3F"/>
    <w:rsid w:val="000D0A7B"/>
    <w:rsid w:val="00141016"/>
    <w:rsid w:val="00393848"/>
    <w:rsid w:val="00647AED"/>
    <w:rsid w:val="00CF1452"/>
    <w:rsid w:val="00F67830"/>
    <w:rsid w:val="00F8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3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848"/>
    <w:rPr>
      <w:rFonts w:ascii="Tahoma" w:eastAsia="Times New Roman" w:hAnsi="Tahoma" w:cs="Tahoma"/>
      <w:sz w:val="16"/>
      <w:szCs w:val="16"/>
    </w:rPr>
  </w:style>
  <w:style w:type="table" w:styleId="LightShading-Accent4">
    <w:name w:val="Light Shading Accent 4"/>
    <w:basedOn w:val="TableNormal"/>
    <w:uiPriority w:val="60"/>
    <w:rsid w:val="0039384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1">
    <w:name w:val="Light Grid Accent 1"/>
    <w:basedOn w:val="TableNormal"/>
    <w:uiPriority w:val="62"/>
    <w:rsid w:val="0039384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2017-02-20T08:53:00Z</cp:lastPrinted>
  <dcterms:created xsi:type="dcterms:W3CDTF">2017-02-20T08:35:00Z</dcterms:created>
  <dcterms:modified xsi:type="dcterms:W3CDTF">2018-09-08T05:58:00Z</dcterms:modified>
</cp:coreProperties>
</file>